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3"/>
        </w:tabs>
        <w:spacing w:line="360" w:lineRule="auto"/>
        <w:ind w:left="-1080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ascii="黑体" w:hAnsi="黑体" w:eastAsia="黑体" w:cs="黑体"/>
          <w:b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b/>
          <w:sz w:val="28"/>
          <w:szCs w:val="28"/>
        </w:rPr>
        <w:t>ProQuest Central 助力学习研究，全面获取全球学术信息</w:t>
      </w:r>
    </w:p>
    <w:p>
      <w:pPr>
        <w:tabs>
          <w:tab w:val="left" w:pos="1243"/>
        </w:tabs>
        <w:spacing w:line="360" w:lineRule="auto"/>
        <w:ind w:left="-10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讲座时间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>27</w:t>
      </w:r>
      <w:r>
        <w:rPr>
          <w:rFonts w:hint="eastAsia" w:ascii="仿宋" w:hAnsi="仿宋" w:eastAsia="仿宋" w:cs="仿宋"/>
          <w:sz w:val="24"/>
        </w:rPr>
        <w:t>日（周三）下午1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:00-1</w:t>
      </w:r>
      <w:r>
        <w:rPr>
          <w:rFonts w:ascii="仿宋" w:hAnsi="仿宋" w:eastAsia="仿宋" w:cs="仿宋"/>
          <w:sz w:val="24"/>
        </w:rPr>
        <w:t>6</w:t>
      </w:r>
      <w:r>
        <w:rPr>
          <w:rFonts w:hint="eastAsia" w:ascii="仿宋" w:hAnsi="仿宋" w:eastAsia="仿宋" w:cs="仿宋"/>
          <w:sz w:val="24"/>
        </w:rPr>
        <w:t>：00</w:t>
      </w:r>
    </w:p>
    <w:p>
      <w:pPr>
        <w:tabs>
          <w:tab w:val="left" w:pos="1243"/>
        </w:tabs>
        <w:spacing w:line="360" w:lineRule="auto"/>
        <w:ind w:left="-10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参加方式：</w:t>
      </w:r>
      <w:r>
        <w:rPr>
          <w:rFonts w:hint="eastAsia" w:ascii="仿宋" w:hAnsi="仿宋" w:eastAsia="仿宋" w:cs="仿宋"/>
          <w:sz w:val="24"/>
        </w:rPr>
        <w:t>腾讯会议</w:t>
      </w:r>
    </w:p>
    <w:tbl>
      <w:tblPr>
        <w:tblStyle w:val="4"/>
        <w:tblW w:w="8815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5575" w:type="dxa"/>
          </w:tcPr>
          <w:p>
            <w:pPr>
              <w:tabs>
                <w:tab w:val="left" w:pos="1243"/>
              </w:tabs>
              <w:spacing w:after="0" w:line="360" w:lineRule="auto"/>
              <w:jc w:val="left"/>
              <w:rPr>
                <w:rFonts w:eastAsia="仿宋" w:asciiTheme="minorHAnsi" w:hAnsiTheme="minorHAnsi" w:cstheme="minorHAnsi"/>
                <w:sz w:val="24"/>
              </w:rPr>
            </w:pPr>
            <w:r>
              <w:rPr>
                <w:rFonts w:eastAsia="仿宋" w:asciiTheme="minorHAnsi" w:hAnsiTheme="minorHAnsi" w:cstheme="minorHAnsi"/>
                <w:sz w:val="24"/>
              </w:rPr>
              <w:t>加入链接：</w:t>
            </w:r>
          </w:p>
          <w:p>
            <w:pPr>
              <w:pStyle w:val="2"/>
              <w:rPr>
                <w:rFonts w:ascii="Calibri" w:hAnsi="Calibri" w:cs="Calibri"/>
              </w:rPr>
            </w:pPr>
            <w:r>
              <w:fldChar w:fldCharType="begin"/>
            </w:r>
            <w:r>
              <w:instrText xml:space="preserve"> HYPERLINK "https://meeting.tencent.com/dm/mHuA7mcPuOmk" </w:instrText>
            </w:r>
            <w:r>
              <w:fldChar w:fldCharType="separate"/>
            </w:r>
            <w:r>
              <w:rPr>
                <w:rStyle w:val="6"/>
                <w:rFonts w:ascii="Calibri" w:hAnsi="Calibri" w:cs="Calibri"/>
              </w:rPr>
              <w:t>https://meeting.tencent.com/dm/mHuA7mcPuOmk</w:t>
            </w:r>
            <w:r>
              <w:rPr>
                <w:rStyle w:val="6"/>
                <w:rFonts w:ascii="Calibri" w:hAnsi="Calibri" w:cs="Calibri"/>
              </w:rPr>
              <w:fldChar w:fldCharType="end"/>
            </w:r>
          </w:p>
          <w:p>
            <w:pPr>
              <w:pStyle w:val="2"/>
              <w:rPr>
                <w:rFonts w:eastAsia="仿宋"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（</w:t>
            </w:r>
            <w:r>
              <w:rPr>
                <w:rFonts w:eastAsia="仿宋" w:asciiTheme="minorHAnsi" w:hAnsiTheme="minorHAnsi" w:cstheme="minorHAnsi"/>
                <w:kern w:val="2"/>
              </w:rPr>
              <w:t>会议 ID：</w:t>
            </w:r>
            <w:r>
              <w:rPr>
                <w:rFonts w:ascii="Calibri" w:hAnsi="Calibri" w:cs="Calibri"/>
              </w:rPr>
              <w:t>936-913-265</w:t>
            </w:r>
            <w:r>
              <w:rPr>
                <w:rFonts w:eastAsia="仿宋" w:asciiTheme="minorHAnsi" w:hAnsiTheme="minorHAnsi" w:cstheme="minorHAnsi"/>
                <w:kern w:val="2"/>
              </w:rPr>
              <w:t xml:space="preserve">） </w:t>
            </w:r>
          </w:p>
          <w:p>
            <w:pPr>
              <w:tabs>
                <w:tab w:val="left" w:pos="1243"/>
              </w:tabs>
              <w:spacing w:after="0"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40" w:type="dxa"/>
          </w:tcPr>
          <w:p>
            <w:pPr>
              <w:tabs>
                <w:tab w:val="left" w:pos="1243"/>
              </w:tabs>
              <w:spacing w:after="0"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加入二维码</w:t>
            </w:r>
          </w:p>
          <w:p>
            <w:pPr>
              <w:tabs>
                <w:tab w:val="left" w:pos="1243"/>
              </w:tabs>
              <w:spacing w:after="0"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t xml:space="preserve">        </w:t>
            </w:r>
            <w:r>
              <w:drawing>
                <wp:inline distT="0" distB="0" distL="0" distR="0">
                  <wp:extent cx="1419225" cy="1419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1243"/>
        </w:tabs>
        <w:spacing w:line="360" w:lineRule="auto"/>
        <w:ind w:left="-1080" w:right="-514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4"/>
        </w:rPr>
        <w:t>主 讲 人</w:t>
      </w:r>
      <w:r>
        <w:rPr>
          <w:rFonts w:hint="eastAsia" w:ascii="仿宋" w:hAnsi="仿宋" w:eastAsia="仿宋" w:cs="仿宋"/>
          <w:sz w:val="24"/>
        </w:rPr>
        <w:t xml:space="preserve">：ProQuest培训及咨询顾问 王剑飞 </w:t>
      </w:r>
      <w:r>
        <w:rPr>
          <w:rFonts w:hint="eastAsia" w:ascii="仿宋" w:hAnsi="仿宋" w:eastAsia="仿宋" w:cs="仿宋"/>
        </w:rPr>
        <w:t>（北京大学情报学硕士毕业，任职1</w:t>
      </w:r>
      <w:r>
        <w:rPr>
          <w:rFonts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t>年，已主讲2000多场讲座，涉及多种类型资源数据库/信息工具/图书馆建设工具等）</w:t>
      </w:r>
    </w:p>
    <w:p>
      <w:pPr>
        <w:tabs>
          <w:tab w:val="left" w:pos="1243"/>
        </w:tabs>
        <w:spacing w:line="360" w:lineRule="auto"/>
        <w:ind w:left="-1080" w:right="-514"/>
        <w:jc w:val="lef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</w:rPr>
        <w:t>数据库简介</w:t>
      </w:r>
      <w:r>
        <w:rPr>
          <w:rFonts w:hint="eastAsia" w:ascii="仿宋" w:hAnsi="仿宋" w:eastAsia="仿宋" w:cs="仿宋"/>
        </w:rPr>
        <w:t>：</w:t>
      </w:r>
      <w:r>
        <w:rPr>
          <w:rFonts w:ascii="仿宋" w:hAnsi="仿宋" w:eastAsia="仿宋" w:cs="仿宋"/>
          <w:sz w:val="22"/>
          <w:szCs w:val="22"/>
        </w:rPr>
        <w:t>ProQ</w:t>
      </w:r>
      <w:r>
        <w:rPr>
          <w:rFonts w:hint="eastAsia" w:ascii="仿宋" w:hAnsi="仿宋" w:eastAsia="仿宋" w:cs="仿宋"/>
          <w:sz w:val="22"/>
          <w:szCs w:val="22"/>
        </w:rPr>
        <w:t>uest</w:t>
      </w:r>
      <w:r>
        <w:rPr>
          <w:rFonts w:ascii="仿宋" w:hAnsi="仿宋" w:eastAsia="仿宋" w:cs="仿宋"/>
          <w:sz w:val="22"/>
          <w:szCs w:val="22"/>
        </w:rPr>
        <w:t xml:space="preserve"> Central China </w:t>
      </w:r>
      <w:r>
        <w:rPr>
          <w:rFonts w:hint="eastAsia" w:ascii="仿宋" w:hAnsi="仿宋" w:eastAsia="仿宋" w:cs="仿宋"/>
          <w:sz w:val="22"/>
          <w:szCs w:val="22"/>
        </w:rPr>
        <w:t>综合期刊数据库, 提供2</w:t>
      </w:r>
      <w:r>
        <w:rPr>
          <w:rFonts w:ascii="仿宋" w:hAnsi="仿宋" w:eastAsia="仿宋" w:cs="仿宋"/>
          <w:sz w:val="22"/>
          <w:szCs w:val="22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,000多种出版物，含16,000种左右全文刊物，例如</w:t>
      </w:r>
      <w:r>
        <w:rPr>
          <w:rFonts w:ascii="仿宋" w:hAnsi="仿宋" w:eastAsia="仿宋" w:cs="仿宋"/>
          <w:sz w:val="22"/>
          <w:szCs w:val="22"/>
        </w:rPr>
        <w:t>MIT Sloan Management Review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>Journal of International Business Studies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>Harvard Educational Review</w:t>
      </w:r>
      <w:r>
        <w:rPr>
          <w:rFonts w:hint="eastAsia" w:ascii="仿宋" w:hAnsi="仿宋" w:eastAsia="仿宋" w:cs="仿宋"/>
          <w:sz w:val="22"/>
          <w:szCs w:val="22"/>
        </w:rPr>
        <w:t>、Na</w:t>
      </w:r>
      <w:r>
        <w:rPr>
          <w:rFonts w:ascii="仿宋" w:hAnsi="仿宋" w:eastAsia="仿宋" w:cs="仿宋"/>
          <w:sz w:val="22"/>
          <w:szCs w:val="22"/>
        </w:rPr>
        <w:t>ture</w:t>
      </w:r>
      <w:r>
        <w:rPr>
          <w:rFonts w:hint="eastAsia" w:ascii="仿宋" w:hAnsi="仿宋" w:eastAsia="仿宋" w:cs="仿宋"/>
          <w:sz w:val="22"/>
          <w:szCs w:val="22"/>
        </w:rPr>
        <w:t>、I</w:t>
      </w:r>
      <w:r>
        <w:rPr>
          <w:rFonts w:ascii="仿宋" w:hAnsi="仿宋" w:eastAsia="仿宋" w:cs="仿宋"/>
          <w:sz w:val="22"/>
          <w:szCs w:val="22"/>
        </w:rPr>
        <w:t>nternet Research</w:t>
      </w:r>
      <w:r>
        <w:rPr>
          <w:rFonts w:hint="eastAsia" w:ascii="仿宋" w:hAnsi="仿宋" w:eastAsia="仿宋" w:cs="仿宋"/>
          <w:sz w:val="22"/>
          <w:szCs w:val="22"/>
        </w:rPr>
        <w:t>、N</w:t>
      </w:r>
      <w:r>
        <w:rPr>
          <w:rFonts w:ascii="仿宋" w:hAnsi="仿宋" w:eastAsia="仿宋" w:cs="仿宋"/>
          <w:sz w:val="22"/>
          <w:szCs w:val="22"/>
        </w:rPr>
        <w:t>euron</w:t>
      </w:r>
      <w:r>
        <w:rPr>
          <w:rFonts w:hint="eastAsia" w:ascii="仿宋" w:hAnsi="仿宋" w:eastAsia="仿宋" w:cs="仿宋"/>
          <w:sz w:val="22"/>
          <w:szCs w:val="22"/>
        </w:rPr>
        <w:t>、A</w:t>
      </w:r>
      <w:r>
        <w:rPr>
          <w:rFonts w:ascii="仿宋" w:hAnsi="仿宋" w:eastAsia="仿宋" w:cs="仿宋"/>
          <w:sz w:val="22"/>
          <w:szCs w:val="22"/>
        </w:rPr>
        <w:t>nnual Review of Applied Language</w:t>
      </w:r>
      <w:r>
        <w:rPr>
          <w:rFonts w:hint="eastAsia" w:ascii="仿宋" w:hAnsi="仿宋" w:eastAsia="仿宋" w:cs="仿宋"/>
          <w:sz w:val="22"/>
          <w:szCs w:val="22"/>
        </w:rPr>
        <w:t>等，其中被重要二次文献数据库索引情况如下：S</w:t>
      </w:r>
      <w:r>
        <w:rPr>
          <w:rFonts w:ascii="仿宋" w:hAnsi="仿宋" w:eastAsia="仿宋" w:cs="仿宋"/>
          <w:sz w:val="22"/>
          <w:szCs w:val="22"/>
        </w:rPr>
        <w:t>CIE-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ascii="仿宋" w:hAnsi="仿宋" w:eastAsia="仿宋" w:cs="仿宋"/>
          <w:sz w:val="22"/>
          <w:szCs w:val="22"/>
        </w:rPr>
        <w:t>,</w:t>
      </w:r>
      <w:r>
        <w:rPr>
          <w:rFonts w:hint="eastAsia" w:ascii="仿宋" w:hAnsi="仿宋" w:eastAsia="仿宋" w:cs="仿宋"/>
          <w:sz w:val="22"/>
          <w:szCs w:val="22"/>
        </w:rPr>
        <w:t>900多种，S</w:t>
      </w:r>
      <w:r>
        <w:rPr>
          <w:rFonts w:ascii="仿宋" w:hAnsi="仿宋" w:eastAsia="仿宋" w:cs="仿宋"/>
          <w:sz w:val="22"/>
          <w:szCs w:val="22"/>
        </w:rPr>
        <w:t>SCI-1</w:t>
      </w:r>
      <w:r>
        <w:rPr>
          <w:rFonts w:hint="eastAsia" w:ascii="仿宋" w:hAnsi="仿宋" w:eastAsia="仿宋" w:cs="仿宋"/>
          <w:sz w:val="22"/>
          <w:szCs w:val="22"/>
        </w:rPr>
        <w:t>,200多种，</w:t>
      </w:r>
      <w:r>
        <w:rPr>
          <w:rFonts w:ascii="仿宋" w:hAnsi="仿宋" w:eastAsia="仿宋" w:cs="仿宋"/>
          <w:sz w:val="22"/>
          <w:szCs w:val="22"/>
        </w:rPr>
        <w:t>A&amp;HCI-500</w:t>
      </w:r>
      <w:r>
        <w:rPr>
          <w:rFonts w:hint="eastAsia" w:ascii="仿宋" w:hAnsi="仿宋" w:eastAsia="仿宋" w:cs="仿宋"/>
          <w:sz w:val="22"/>
          <w:szCs w:val="22"/>
        </w:rPr>
        <w:t>多种，E</w:t>
      </w:r>
      <w:r>
        <w:rPr>
          <w:rFonts w:ascii="仿宋" w:hAnsi="仿宋" w:eastAsia="仿宋" w:cs="仿宋"/>
          <w:sz w:val="22"/>
          <w:szCs w:val="22"/>
        </w:rPr>
        <w:t>RIC-300</w:t>
      </w:r>
      <w:r>
        <w:rPr>
          <w:rFonts w:hint="eastAsia" w:ascii="仿宋" w:hAnsi="仿宋" w:eastAsia="仿宋" w:cs="仿宋"/>
          <w:sz w:val="22"/>
          <w:szCs w:val="22"/>
        </w:rPr>
        <w:t>多种，</w:t>
      </w:r>
      <w:r>
        <w:rPr>
          <w:rFonts w:ascii="仿宋" w:hAnsi="仿宋" w:eastAsia="仿宋" w:cs="仿宋"/>
          <w:sz w:val="22"/>
          <w:szCs w:val="22"/>
        </w:rPr>
        <w:t>PsycINFO</w:t>
      </w:r>
      <w:r>
        <w:rPr>
          <w:rFonts w:hint="eastAsia" w:ascii="仿宋" w:hAnsi="仿宋" w:eastAsia="仿宋" w:cs="仿宋"/>
          <w:sz w:val="22"/>
          <w:szCs w:val="22"/>
        </w:rPr>
        <w:t>-700多种，</w:t>
      </w:r>
      <w:r>
        <w:rPr>
          <w:rFonts w:ascii="仿宋" w:hAnsi="仿宋" w:eastAsia="仿宋" w:cs="仿宋"/>
          <w:sz w:val="22"/>
          <w:szCs w:val="22"/>
        </w:rPr>
        <w:t>PubMed</w:t>
      </w:r>
      <w:r>
        <w:rPr>
          <w:rFonts w:hint="eastAsia" w:ascii="仿宋" w:hAnsi="仿宋" w:eastAsia="仿宋" w:cs="仿宋"/>
          <w:sz w:val="22"/>
          <w:szCs w:val="22"/>
        </w:rPr>
        <w:t>-2000多种，</w:t>
      </w:r>
      <w:r>
        <w:rPr>
          <w:rFonts w:ascii="仿宋" w:hAnsi="仿宋" w:eastAsia="仿宋" w:cs="仿宋"/>
          <w:sz w:val="22"/>
          <w:szCs w:val="22"/>
        </w:rPr>
        <w:t>EI COMPENDEX</w:t>
      </w:r>
      <w:r>
        <w:rPr>
          <w:rFonts w:hint="eastAsia" w:ascii="仿宋" w:hAnsi="仿宋" w:eastAsia="仿宋" w:cs="仿宋"/>
          <w:sz w:val="22"/>
          <w:szCs w:val="22"/>
        </w:rPr>
        <w:t>-500多种。刊物来自数千家出版机构，例如</w:t>
      </w:r>
      <w:r>
        <w:rPr>
          <w:rFonts w:ascii="仿宋" w:hAnsi="仿宋" w:eastAsia="仿宋" w:cs="仿宋"/>
          <w:sz w:val="22"/>
          <w:szCs w:val="22"/>
        </w:rPr>
        <w:t>Elsevier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>Cambridge University Press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>Nature Publishing Group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>Springer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ascii="仿宋" w:hAnsi="仿宋" w:eastAsia="仿宋" w:cs="仿宋"/>
          <w:sz w:val="22"/>
          <w:szCs w:val="22"/>
        </w:rPr>
        <w:t>Palgrave Macmillan</w:t>
      </w:r>
      <w:r>
        <w:rPr>
          <w:rFonts w:hint="eastAsia" w:ascii="仿宋" w:hAnsi="仿宋" w:eastAsia="仿宋" w:cs="仿宋"/>
          <w:sz w:val="22"/>
          <w:szCs w:val="22"/>
        </w:rPr>
        <w:t>等。</w:t>
      </w:r>
    </w:p>
    <w:p>
      <w:pPr>
        <w:tabs>
          <w:tab w:val="left" w:pos="1243"/>
        </w:tabs>
        <w:spacing w:line="360" w:lineRule="auto"/>
        <w:ind w:left="-108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讲座内容：</w:t>
      </w:r>
    </w:p>
    <w:p>
      <w:pPr>
        <w:tabs>
          <w:tab w:val="left" w:pos="1243"/>
        </w:tabs>
        <w:spacing w:line="360" w:lineRule="auto"/>
        <w:ind w:left="-10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1.介绍P</w:t>
      </w:r>
      <w:r>
        <w:rPr>
          <w:rFonts w:ascii="仿宋" w:hAnsi="仿宋" w:eastAsia="仿宋" w:cs="仿宋"/>
          <w:sz w:val="24"/>
        </w:rPr>
        <w:t>roQuest Central China</w:t>
      </w:r>
      <w:r>
        <w:rPr>
          <w:rFonts w:hint="eastAsia" w:ascii="仿宋" w:hAnsi="仿宋" w:eastAsia="仿宋" w:cs="仿宋"/>
          <w:sz w:val="24"/>
        </w:rPr>
        <w:t>综合期刊全文数据库的资源优势</w:t>
      </w:r>
    </w:p>
    <w:p>
      <w:pPr>
        <w:tabs>
          <w:tab w:val="left" w:pos="1243"/>
        </w:tabs>
        <w:spacing w:line="360" w:lineRule="auto"/>
        <w:ind w:left="-1080" w:right="-60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2.检索案例演示，</w:t>
      </w:r>
      <w:r>
        <w:rPr>
          <w:rFonts w:hint="eastAsia" w:ascii="仿宋" w:hAnsi="仿宋" w:eastAsia="仿宋" w:cs="仿宋"/>
          <w:sz w:val="24"/>
          <w:lang w:val="en-US" w:eastAsia="zh-CN"/>
        </w:rPr>
        <w:t>如何</w:t>
      </w:r>
      <w:r>
        <w:rPr>
          <w:rFonts w:hint="eastAsia" w:ascii="仿宋" w:hAnsi="仿宋" w:eastAsia="仿宋" w:cs="仿宋"/>
          <w:sz w:val="24"/>
        </w:rPr>
        <w:t>高效准确的实现论文筛查和选题，以及</w:t>
      </w:r>
      <w:r>
        <w:rPr>
          <w:rFonts w:hint="eastAsia" w:ascii="仿宋" w:hAnsi="仿宋" w:eastAsia="仿宋" w:cs="仿宋"/>
          <w:sz w:val="24"/>
          <w:lang w:val="en-US" w:eastAsia="zh-CN"/>
        </w:rPr>
        <w:t>如何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通过检索实现特定内容挖掘等</w:t>
      </w:r>
    </w:p>
    <w:p>
      <w:pPr>
        <w:tabs>
          <w:tab w:val="left" w:pos="1243"/>
        </w:tabs>
        <w:spacing w:line="360" w:lineRule="auto"/>
        <w:ind w:left="-10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3.ProQuest平台资源的利用技巧，例如全文获取、相关性文献发掘、引文生成、数据导出与信息资源管理等</w:t>
      </w:r>
    </w:p>
    <w:p>
      <w:pPr>
        <w:tabs>
          <w:tab w:val="left" w:pos="1243"/>
        </w:tabs>
        <w:spacing w:line="360" w:lineRule="auto"/>
        <w:ind w:left="-990"/>
        <w:jc w:val="left"/>
      </w:pPr>
      <w:r>
        <w:rPr>
          <w:rFonts w:hint="eastAsia" w:ascii="仿宋" w:hAnsi="仿宋" w:eastAsia="仿宋" w:cs="仿宋"/>
          <w:b/>
          <w:bCs/>
          <w:sz w:val="24"/>
        </w:rPr>
        <w:t>适用对象</w:t>
      </w:r>
      <w:r>
        <w:rPr>
          <w:rFonts w:hint="eastAsia" w:ascii="仿宋" w:hAnsi="仿宋" w:eastAsia="仿宋" w:cs="仿宋"/>
          <w:sz w:val="24"/>
        </w:rPr>
        <w:t>：本科生、研究生、教师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11"/>
    <w:rsid w:val="00000FB2"/>
    <w:rsid w:val="000438FB"/>
    <w:rsid w:val="00057929"/>
    <w:rsid w:val="00064A27"/>
    <w:rsid w:val="00077B29"/>
    <w:rsid w:val="0009787B"/>
    <w:rsid w:val="00102618"/>
    <w:rsid w:val="0010524F"/>
    <w:rsid w:val="00121325"/>
    <w:rsid w:val="00152DE6"/>
    <w:rsid w:val="00153DF3"/>
    <w:rsid w:val="001632DC"/>
    <w:rsid w:val="001A658A"/>
    <w:rsid w:val="001D7F4D"/>
    <w:rsid w:val="002667DD"/>
    <w:rsid w:val="00286212"/>
    <w:rsid w:val="00294047"/>
    <w:rsid w:val="002A5033"/>
    <w:rsid w:val="002E7538"/>
    <w:rsid w:val="00316CC0"/>
    <w:rsid w:val="00391B20"/>
    <w:rsid w:val="003B7F10"/>
    <w:rsid w:val="003F7152"/>
    <w:rsid w:val="00416ED1"/>
    <w:rsid w:val="00434125"/>
    <w:rsid w:val="004341A5"/>
    <w:rsid w:val="00435330"/>
    <w:rsid w:val="0046058D"/>
    <w:rsid w:val="0049509E"/>
    <w:rsid w:val="004A5F1C"/>
    <w:rsid w:val="004F5EDC"/>
    <w:rsid w:val="00510994"/>
    <w:rsid w:val="00567D91"/>
    <w:rsid w:val="006079AC"/>
    <w:rsid w:val="00635555"/>
    <w:rsid w:val="006979B0"/>
    <w:rsid w:val="006B6AA7"/>
    <w:rsid w:val="006D454B"/>
    <w:rsid w:val="006F4FE5"/>
    <w:rsid w:val="00737E9A"/>
    <w:rsid w:val="00787482"/>
    <w:rsid w:val="00832489"/>
    <w:rsid w:val="00873092"/>
    <w:rsid w:val="00875B70"/>
    <w:rsid w:val="0088672A"/>
    <w:rsid w:val="008B740C"/>
    <w:rsid w:val="009056B9"/>
    <w:rsid w:val="00916525"/>
    <w:rsid w:val="009176C1"/>
    <w:rsid w:val="00932C40"/>
    <w:rsid w:val="009344A0"/>
    <w:rsid w:val="00970511"/>
    <w:rsid w:val="00976085"/>
    <w:rsid w:val="009777FC"/>
    <w:rsid w:val="0098267E"/>
    <w:rsid w:val="009A02CB"/>
    <w:rsid w:val="009A06C9"/>
    <w:rsid w:val="009A0C6F"/>
    <w:rsid w:val="009A26F3"/>
    <w:rsid w:val="009A5A6B"/>
    <w:rsid w:val="009E7543"/>
    <w:rsid w:val="00A356F8"/>
    <w:rsid w:val="00A535A0"/>
    <w:rsid w:val="00A759CF"/>
    <w:rsid w:val="00AD568F"/>
    <w:rsid w:val="00AF2124"/>
    <w:rsid w:val="00B3672D"/>
    <w:rsid w:val="00B37402"/>
    <w:rsid w:val="00B6080C"/>
    <w:rsid w:val="00BA191F"/>
    <w:rsid w:val="00BF13C2"/>
    <w:rsid w:val="00C020C8"/>
    <w:rsid w:val="00C51219"/>
    <w:rsid w:val="00C557A5"/>
    <w:rsid w:val="00CD6AAE"/>
    <w:rsid w:val="00D258DD"/>
    <w:rsid w:val="00D34F03"/>
    <w:rsid w:val="00D46B20"/>
    <w:rsid w:val="00D70538"/>
    <w:rsid w:val="00D83D8E"/>
    <w:rsid w:val="00E03120"/>
    <w:rsid w:val="00E11786"/>
    <w:rsid w:val="00E167E8"/>
    <w:rsid w:val="00E85EC8"/>
    <w:rsid w:val="00EB5C47"/>
    <w:rsid w:val="00EC1948"/>
    <w:rsid w:val="00F12A22"/>
    <w:rsid w:val="00F41CFB"/>
    <w:rsid w:val="00F55F93"/>
    <w:rsid w:val="00F636E1"/>
    <w:rsid w:val="00F97B24"/>
    <w:rsid w:val="00FC78FC"/>
    <w:rsid w:val="00FF2EF9"/>
    <w:rsid w:val="2D20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799</Characters>
  <Lines>6</Lines>
  <Paragraphs>1</Paragraphs>
  <TotalTime>76</TotalTime>
  <ScaleCrop>false</ScaleCrop>
  <LinksUpToDate>false</LinksUpToDate>
  <CharactersWithSpaces>853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2020-07-08T07:47:00Z</dcterms:created>
  <dc:creator>Jim Wang</dc:creator>
  <cp:lastModifiedBy>胡智豪</cp:lastModifiedBy>
  <dcterms:modified xsi:type="dcterms:W3CDTF">2022-04-25T08:16:12Z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eyJoZGlkIjoiZWRkOWQ1NzhjNjQyOTA5NGRiYjRkZDI2N2QyNmI4ZTgifQ==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2CEC5D4E28C843F3B893C09DDC2AA0B0</vt:lpwstr>
  </property>
</Properties>
</file>